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DC2F6E84">
      <w:pPr>
        <w:pStyle w:val="style4097"/>
        <w:spacing w:lineRule="auto" w:line="480"/>
        <w:jc w:val="center"/>
        <w:rPr>
          <w:sz w:val="28"/>
          <w:szCs w:val="28"/>
        </w:rPr>
      </w:pPr>
      <w:r>
        <w:rPr>
          <w:sz w:val="28"/>
          <w:szCs w:val="28"/>
        </w:rPr>
        <w:t>河南禾风牧语鑫瑞餐饮管理有限公司股权架构及商业方案</w:t>
      </w:r>
    </w:p>
    <w:p w14:paraId="66FA231F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一、项目核心定位</w:t>
      </w:r>
    </w:p>
    <w:p w14:paraId="D176D116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本项目聚焦**“药膳鸡煲+药膳鹅煲”核心品类**，以“食品安全溯源+爱心合伙共享+公益价值赋能”为三大支柱，依托河南亿城鹅业云科技有限公司的养殖供应链与云技术优势、河南惠乾贸易有限公司的渠道运营能力，打造区域性药膳餐饮连锁标杆品牌，通过创新股权机制整合社会爱心资源，实现商业价值与社会价值的双重统一。</w:t>
      </w:r>
    </w:p>
    <w:p w14:paraId="BB6F59C7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二、股权架构设计</w:t>
      </w:r>
    </w:p>
    <w:p w14:paraId="82186313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（一）母公司股权架构：河南禾风牧语鑫瑞餐饮管理有限公司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2078"/>
        <w:gridCol w:w="1505"/>
        <w:gridCol w:w="1701"/>
        <w:gridCol w:w="4554"/>
      </w:tblGrid>
      <w:tr w14:paraId="BFF38113">
        <w:trPr/>
        <w:tc>
          <w:tcPr>
            <w:tcW w:w="207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DF5EF3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股东名称</w:t>
            </w:r>
          </w:p>
        </w:tc>
        <w:tc>
          <w:tcPr>
            <w:tcW w:w="15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16984C8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持股比例</w:t>
            </w:r>
          </w:p>
        </w:tc>
        <w:tc>
          <w:tcPr>
            <w:tcW w:w="170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D98C74AD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股东类型</w:t>
            </w:r>
          </w:p>
        </w:tc>
        <w:tc>
          <w:tcPr>
            <w:tcW w:w="455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1275AE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核心权责</w:t>
            </w:r>
          </w:p>
        </w:tc>
      </w:tr>
      <w:tr w14:paraId="2C98366E">
        <w:tblPrEx/>
        <w:trPr/>
        <w:tc>
          <w:tcPr>
            <w:tcW w:w="207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9742DE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河南亿城鹅业云科技有限公司</w:t>
            </w:r>
          </w:p>
        </w:tc>
        <w:tc>
          <w:tcPr>
            <w:tcW w:w="15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1E2EC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  <w:tc>
          <w:tcPr>
            <w:tcW w:w="170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AAE0A08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控股股东</w:t>
            </w:r>
          </w:p>
        </w:tc>
        <w:tc>
          <w:tcPr>
            <w:tcW w:w="455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DF464E92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提供鹅、鸡等核心食材养殖基地，搭建食材溯源云平台，输出标准化养殖技术</w:t>
            </w:r>
          </w:p>
        </w:tc>
      </w:tr>
      <w:tr w14:paraId="321F6B41">
        <w:tblPrEx/>
        <w:trPr/>
        <w:tc>
          <w:tcPr>
            <w:tcW w:w="207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2738C1A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河南惠乾贸易有限公司</w:t>
            </w:r>
          </w:p>
        </w:tc>
        <w:tc>
          <w:tcPr>
            <w:tcW w:w="1505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F52A4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40%</w:t>
            </w:r>
          </w:p>
        </w:tc>
        <w:tc>
          <w:tcPr>
            <w:tcW w:w="1701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3D342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参股股东</w:t>
            </w:r>
          </w:p>
        </w:tc>
        <w:tc>
          <w:tcPr>
            <w:tcW w:w="4554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AB02579">
            <w:pPr>
              <w:pStyle w:val="style4105"/>
              <w:spacing w:lineRule="auto" w:line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负责食材采购分销、品牌营销推广、线下渠道拓展及门店物流配送</w:t>
            </w:r>
          </w:p>
        </w:tc>
      </w:tr>
    </w:tbl>
    <w:p w14:paraId="BC8F5169">
      <w:pPr>
        <w:pStyle w:val="style4099"/>
        <w:spacing w:lineRule="auto" w:line="480"/>
        <w:rPr/>
      </w:pPr>
      <w:r>
        <w:rPr>
          <w:sz w:val="28"/>
          <w:szCs w:val="28"/>
        </w:rPr>
        <w:t>（二）旗下运营主体股权架构：河南禾风牧语餐饮普通合伙企业</w:t>
      </w:r>
      <w:r>
        <w:rPr>
          <w:rFonts w:ascii="Arial" w:cs="Arial" w:eastAsia="等线" w:hAnsi="Arial" w:hint="default"/>
          <w:b/>
          <w:bCs/>
          <w:i w:val="false"/>
          <w:iCs w:val="false"/>
          <w:color w:val="auto"/>
          <w:sz w:val="36"/>
          <w:szCs w:val="36"/>
          <w:highlight w:val="none"/>
          <w:vertAlign w:val="baseline"/>
          <w:em w:val="none"/>
        </w:rPr>
        <w:t>河南禾风牧语餐饮普通合伙企业合伙主体及持股比例表</w:t>
      </w:r>
    </w:p>
    <w:p w14:paraId="2239A88C">
      <w:pPr>
        <w:spacing w:before="120" w:after="120" w:lineRule="auto" w:line="288"/>
        <w:jc w:val="left"/>
        <w:rPr/>
      </w:pPr>
    </w:p>
    <w:tbl>
      <w:tblPr>
        <w:tblW w:w="9767" w:type="dxa"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558"/>
        <w:gridCol w:w="2313"/>
        <w:gridCol w:w="3629"/>
      </w:tblGrid>
      <w:tr>
        <w:trPr>
          <w:cantSplit w:val="false"/>
          <w:tblHeader w:val="false"/>
          <w:jc w:val="left"/>
        </w:trPr>
        <w:tc>
          <w:tcPr>
            <w:tcW w:w="226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1A590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合伙人名称</w:t>
            </w:r>
          </w:p>
        </w:tc>
        <w:tc>
          <w:tcPr>
            <w:tcW w:w="155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DAD9AE5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持股比例</w:t>
            </w:r>
          </w:p>
        </w:tc>
        <w:tc>
          <w:tcPr>
            <w:tcW w:w="231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EC2F9E2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合伙人类型</w:t>
            </w:r>
          </w:p>
        </w:tc>
        <w:tc>
          <w:tcPr>
            <w:tcW w:w="362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1210C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核心权责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6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E3AF0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河南禾风牧语鑫瑞餐饮管理有限公司</w:t>
            </w:r>
          </w:p>
        </w:tc>
        <w:tc>
          <w:tcPr>
            <w:tcW w:w="155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69EEC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70%</w:t>
            </w:r>
          </w:p>
        </w:tc>
        <w:tc>
          <w:tcPr>
            <w:tcW w:w="231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8AEC7B2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普通合伙人（GP）</w:t>
            </w:r>
          </w:p>
        </w:tc>
        <w:tc>
          <w:tcPr>
            <w:tcW w:w="362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E2095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执掌合伙企业日常运营、品牌管理、菜品研发、连锁标准化建设决策权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6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D42F2F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河南亿城鹅业云科技有限公司</w:t>
            </w:r>
          </w:p>
        </w:tc>
        <w:tc>
          <w:tcPr>
            <w:tcW w:w="155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F8B6D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5%</w:t>
            </w:r>
          </w:p>
        </w:tc>
        <w:tc>
          <w:tcPr>
            <w:tcW w:w="231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E7FDB8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有限合伙人（LP）</w:t>
            </w:r>
          </w:p>
        </w:tc>
        <w:tc>
          <w:tcPr>
            <w:tcW w:w="362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54B908E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提供稳定食材供应，保障溯源系统技术运维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6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B9A6BF78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核心合伙人1</w:t>
            </w:r>
          </w:p>
        </w:tc>
        <w:tc>
          <w:tcPr>
            <w:tcW w:w="155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E2D670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5%</w:t>
            </w:r>
          </w:p>
        </w:tc>
        <w:tc>
          <w:tcPr>
            <w:tcW w:w="231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7E3BBC5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有限合伙人（LP）</w:t>
            </w:r>
          </w:p>
        </w:tc>
        <w:tc>
          <w:tcPr>
            <w:tcW w:w="362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B25BB94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主导药膳配方研发、菜品标准化落地及厨师团队培训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6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EA8B014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核心合伙人2</w:t>
            </w:r>
          </w:p>
        </w:tc>
        <w:tc>
          <w:tcPr>
            <w:tcW w:w="155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A18E27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5%</w:t>
            </w:r>
          </w:p>
        </w:tc>
        <w:tc>
          <w:tcPr>
            <w:tcW w:w="231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E7166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有限合伙人（LP）</w:t>
            </w:r>
          </w:p>
        </w:tc>
        <w:tc>
          <w:tcPr>
            <w:tcW w:w="362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A8C34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负责门店运营管理、服务流程优化及员工培训体系搭建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6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33530B6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核心合伙人3</w:t>
            </w:r>
          </w:p>
        </w:tc>
        <w:tc>
          <w:tcPr>
            <w:tcW w:w="155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AF372D94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5%</w:t>
            </w:r>
          </w:p>
        </w:tc>
        <w:tc>
          <w:tcPr>
            <w:tcW w:w="231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17465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有限合伙人（LP）</w:t>
            </w:r>
          </w:p>
        </w:tc>
        <w:tc>
          <w:tcPr>
            <w:tcW w:w="362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EE953894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对接本地政企资源、公益组织合作及品牌活动策划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267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F50C3145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爱心普通合伙人（300位）</w:t>
            </w:r>
          </w:p>
        </w:tc>
        <w:tc>
          <w:tcPr>
            <w:tcW w:w="1558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C57D7347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10%</w:t>
            </w:r>
          </w:p>
        </w:tc>
        <w:tc>
          <w:tcPr>
            <w:tcW w:w="2313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979BC40E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有限合伙人（LP）</w:t>
            </w:r>
          </w:p>
        </w:tc>
        <w:tc>
          <w:tcPr>
            <w:tcW w:w="3629" w:type="dxa"/>
            <w:tcBorders>
              <w:top w:val="single" w:sz="0" w:space="0" w:color="dee0e3"/>
              <w:left w:val="single" w:sz="0" w:space="0" w:color="dee0e3"/>
              <w:bottom w:val="single" w:sz="0" w:space="0" w:color="dee0e3"/>
              <w:right w:val="single" w:sz="0" w:space="0" w:color="dee0e3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825BF6C4">
            <w:pPr>
              <w:spacing w:before="120" w:after="120" w:lineRule="auto" w:line="288"/>
              <w:jc w:val="left"/>
              <w:rPr/>
            </w:pPr>
            <w:r>
              <w:rPr>
                <w:rFonts w:ascii="Arial" w:cs="Arial" w:eastAsia="等线" w:hAnsi="Arial" w:hint="default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highlight w:val="none"/>
                <w:vertAlign w:val="baseline"/>
                <w:em w:val="none"/>
              </w:rPr>
              <w:t>小额资金入股，共享样板店红利，参与公益事业，监督食品安全</w:t>
            </w:r>
          </w:p>
        </w:tc>
      </w:tr>
    </w:tbl>
    <w:p w14:paraId="02591C7C">
      <w:pPr>
        <w:pStyle w:val="style4105"/>
        <w:numPr>
          <w:ilvl w:val="0"/>
          <w:numId w:val="0"/>
        </w:numPr>
        <w:spacing w:lineRule="auto" w:line="480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南召县样板店专项分红政策</w:t>
      </w:r>
    </w:p>
    <w:p w14:paraId="D4CEEC32">
      <w:pPr>
        <w:pStyle w:val="style4105"/>
        <w:numPr>
          <w:ilvl w:val="0"/>
          <w:numId w:val="0"/>
        </w:numPr>
        <w:spacing w:lineRule="auto" w:line="480"/>
        <w:ind w:left="720" w:firstLine="0"/>
        <w:rPr>
          <w:sz w:val="28"/>
          <w:szCs w:val="28"/>
        </w:rPr>
      </w:pPr>
      <w:r>
        <w:rPr>
          <w:sz w:val="28"/>
          <w:szCs w:val="28"/>
        </w:rPr>
        <w:t>南召县第一家样板店</w:t>
      </w:r>
      <w:r>
        <w:rPr>
          <w:b/>
          <w:bCs/>
          <w:sz w:val="28"/>
          <w:szCs w:val="28"/>
        </w:rPr>
        <w:t>年度纯利润的60%</w:t>
      </w:r>
      <w:r>
        <w:rPr>
          <w:sz w:val="28"/>
          <w:szCs w:val="28"/>
        </w:rPr>
        <w:t>，由300位爱心普通合伙人按持股比例均分，分红结算周期为每年12月。</w:t>
      </w:r>
    </w:p>
    <w:p w14:paraId="F14D1317">
      <w:pPr>
        <w:pStyle w:val="style4105"/>
        <w:numPr>
          <w:ilvl w:val="0"/>
          <w:numId w:val="0"/>
        </w:numPr>
        <w:spacing w:lineRule="auto" w:line="480"/>
        <w:ind w:left="720" w:firstLine="0"/>
        <w:rPr>
          <w:sz w:val="28"/>
          <w:szCs w:val="28"/>
        </w:rPr>
      </w:pPr>
      <w:r>
        <w:rPr>
          <w:sz w:val="28"/>
          <w:szCs w:val="28"/>
        </w:rPr>
        <w:t>剩余40%纯利润按比例分配：20%用于门店设备升级与菜品研发、10%注入公益基金、10%奖励核心运营团队。</w:t>
      </w:r>
    </w:p>
    <w:p w14:paraId="F5A64CDA">
      <w:pPr>
        <w:pStyle w:val="style4105"/>
        <w:numPr>
          <w:ilvl w:val="0"/>
          <w:numId w:val="0"/>
        </w:numPr>
        <w:spacing w:lineRule="auto" w:line="480"/>
        <w:ind w:left="720" w:firstLine="0"/>
        <w:rPr>
          <w:sz w:val="28"/>
          <w:szCs w:val="28"/>
        </w:rPr>
      </w:pPr>
      <w:r>
        <w:rPr>
          <w:sz w:val="28"/>
          <w:szCs w:val="28"/>
        </w:rPr>
        <w:t>该分红政策仅限南召县第一家样板店，后续门店分红机制将根据运营情况另行制定并公示。</w:t>
      </w:r>
    </w:p>
    <w:p w14:paraId="3E4A4473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三、核心商业模式</w:t>
      </w:r>
    </w:p>
    <w:p w14:paraId="013A794B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（一）产品研发：聚焦核心品类，打造药膳标准化体系</w:t>
      </w:r>
    </w:p>
    <w:p w14:paraId="C9D4EEDD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主打</w:t>
      </w:r>
      <w:r>
        <w:rPr>
          <w:b/>
          <w:bCs/>
          <w:sz w:val="28"/>
          <w:szCs w:val="28"/>
        </w:rPr>
        <w:t>药膳鸡煲、药膳鹅煲两大核心单品</w:t>
      </w:r>
      <w:r>
        <w:rPr>
          <w:sz w:val="28"/>
          <w:szCs w:val="28"/>
        </w:rPr>
        <w:t>，结合中医四季养生理论，衍生出滋补型、清淡型、麻辣型等多元口味，满足不同消费群体需求。</w:t>
      </w:r>
    </w:p>
    <w:p w14:paraId="36461FF4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与本地中医院、农业院校建立研发合作，制定药膳配方标准，明确食材配比、熬制工艺，同时通过亿城鹅业云平台实现食材溯源，确保药膳原料安全可控。</w:t>
      </w:r>
    </w:p>
    <w:p w14:paraId="D18E7483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推出配套药膳小吃、养生茶饮，形成“主煲+辅品+饮品”的产品矩阵，提升客单价。</w:t>
      </w:r>
    </w:p>
    <w:p w14:paraId="8FE33E1E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（二）运营模式：“母公司+合伙企业”双轨驱动，降本增效</w:t>
      </w:r>
    </w:p>
    <w:p w14:paraId="BB7B0D9D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母公司（禾风牧语鑫瑞）负责品牌战略规划、供应链整合、连锁加盟体系搭建；合伙企业专注单店运营、本地资源对接、公益活动落地，两者分工明确、协同联动。</w:t>
      </w:r>
    </w:p>
    <w:p w14:paraId="54FA8816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推行**“基地直供+数字化运营”**模式，核心食材由亿城鹅业养殖基地直供门店，减少中间流通环节；通过云平台实时监控门店食材库存、销售数据、顾客反馈，实现精准运营。</w:t>
      </w:r>
    </w:p>
    <w:p w14:paraId="9CB22065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（三）盈利模式：多元收益结构，兼顾短期盈利与长期发展</w:t>
      </w:r>
    </w:p>
    <w:p w14:paraId="753144F8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门店盈利</w:t>
      </w:r>
      <w:r>
        <w:rPr>
          <w:sz w:val="28"/>
          <w:szCs w:val="28"/>
        </w:rPr>
        <w:t>：菜品销售（占比70%）、会员充值（占比20%）、定制化药膳套餐服务（占比10%）为核心短期收益。</w:t>
      </w:r>
    </w:p>
    <w:p w14:paraId="32AAC981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加盟收益</w:t>
      </w:r>
      <w:r>
        <w:rPr>
          <w:sz w:val="28"/>
          <w:szCs w:val="28"/>
        </w:rPr>
        <w:t>：样板店成功运营1年后，开放南阳区域加盟权限，收取加盟费、品牌使用费、供应链管理费，形成长期稳定收益。</w:t>
      </w:r>
    </w:p>
    <w:p w14:paraId="828F0C04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公益联动收益</w:t>
      </w:r>
      <w:r>
        <w:rPr>
          <w:sz w:val="28"/>
          <w:szCs w:val="28"/>
        </w:rPr>
        <w:t>：通过公益基金的品牌影响力，争取政府食品安全专项补贴、爱心企业赞助，同时提升品牌美誉度，带动门店客流增长。</w:t>
      </w:r>
    </w:p>
    <w:p w14:paraId="643E9104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（四）公益模式：公益基金赋能品牌，履行社会责任</w:t>
      </w:r>
    </w:p>
    <w:p w14:paraId="0E222D1F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设立</w:t>
      </w:r>
      <w:r>
        <w:rPr>
          <w:b/>
          <w:bCs/>
          <w:sz w:val="28"/>
          <w:szCs w:val="28"/>
        </w:rPr>
        <w:t>禾风牧语公益基金</w:t>
      </w:r>
      <w:r>
        <w:rPr>
          <w:sz w:val="28"/>
          <w:szCs w:val="28"/>
        </w:rPr>
        <w:t>，从母公司年度净利润中提取5%、合伙企业年度净利润中提取10%注入基金，专项用于助老助学、乡村振兴帮扶、食品安全公益宣传等项目。</w:t>
      </w:r>
    </w:p>
    <w:p w14:paraId="D7124ABD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300位爱心普通合伙人自动成为基金志愿者，参与公益项目执行，实现“投资收益+公益参与”的双重价值体验。</w:t>
      </w:r>
    </w:p>
    <w:p w14:paraId="CE8027EA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四、营销推广策略</w:t>
      </w:r>
    </w:p>
    <w:p w14:paraId="23A5EEE2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（一）种子用户期：聚焦南召县，夯实样板店口碑</w:t>
      </w:r>
    </w:p>
    <w:p w14:paraId="B83B027D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针对300位爱心普通合伙人开展**“股东探店体验日”**活动，邀请股东试吃新品、参与食品安全监督，通过朋友圈、抖音等社交平台分享体验，形成裂变传播。</w:t>
      </w:r>
    </w:p>
    <w:p w14:paraId="7A5B07A7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联合本地市场监管局、公益组织举办“食品安全公益论坛”“爱心助老免费药膳宴”活动，提升品牌公信力与社会影响力。</w:t>
      </w:r>
    </w:p>
    <w:p w14:paraId="B7777468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上线本地生活平台团购套餐，推出“首单立减”“会员充值送公益积分”活动，吸引首批种子用户。</w:t>
      </w:r>
    </w:p>
    <w:p w14:paraId="D1A4026B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（二）品牌扩张期：区域复制，打造连锁标杆</w:t>
      </w:r>
    </w:p>
    <w:p w14:paraId="FCD85BE6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以南召县样板店为标杆，向南阳周边市县拓展，采用“</w:t>
      </w:r>
      <w:r>
        <w:rPr>
          <w:b/>
          <w:bCs/>
          <w:sz w:val="28"/>
          <w:szCs w:val="28"/>
        </w:rPr>
        <w:t>直营+爱心合伙加盟</w:t>
      </w:r>
      <w:r>
        <w:rPr>
          <w:sz w:val="28"/>
          <w:szCs w:val="28"/>
        </w:rPr>
        <w:t>”模式，优先吸纳本地爱心企业、创业者加盟，降低扩张风险。</w:t>
      </w:r>
    </w:p>
    <w:p w14:paraId="33E75E04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打造“药膳养生网红店”，邀请本地美食达人探店直播，发布药膳制作短视频，突出食材溯源与养生功效，吸引年轻消费群体。</w:t>
      </w:r>
    </w:p>
    <w:p w14:paraId="BC63F2C5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建立会员体系，通过消费积分兑换公益礼品、免费药膳体验等权益，提升用户粘性。</w:t>
      </w:r>
    </w:p>
    <w:p w14:paraId="8C865532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（三）招商策略：低门槛爱心入股，简化报名流程</w:t>
      </w:r>
    </w:p>
    <w:p w14:paraId="EB5FBCA5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开通线上线下双报名通道：线上通过官方公众号、小程序报名，线下在南召县样板店设立招商咨询点，明确入股门槛（单股金额、持股上限），统一公示报名流程与审核标准。</w:t>
      </w:r>
    </w:p>
    <w:p w14:paraId="C845A5FB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针对爱心企业推出**“公益联名合作计划”**，企业入股后可获得门店品牌曝光、公益基金联名捐赠证书、员工团建专属优惠等权益。</w:t>
      </w:r>
    </w:p>
    <w:p w14:paraId="090800B6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五、食品安全保障体系</w:t>
      </w:r>
    </w:p>
    <w:p w14:paraId="93FC0E6A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（一）源头管控：全程溯源，从基地到餐桌的安全闭环</w:t>
      </w:r>
    </w:p>
    <w:p w14:paraId="0474F03F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核心食材（鸡、鹅）均来自亿城鹅业标准化养殖基地，签订专属供货协议，养殖过程全程记录（饲料配比、防疫措施、出栏时间），确保食材无抗生素、无激素残留。</w:t>
      </w:r>
    </w:p>
    <w:p w14:paraId="33515783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建立**“一物一码”溯源系统**，消费者扫码即可查看食材养殖信息、加工流程、检测报告，实现食品安全透明化。</w:t>
      </w:r>
    </w:p>
    <w:p w14:paraId="FDC50842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（二）过程管控：标准化操作，严格品控</w:t>
      </w:r>
    </w:p>
    <w:p w14:paraId="A74EAED5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制定《门店运营SOP手册》，明确食材清洗、切配、熬制、储存等环节的操作标准，定期组织员工培训与考核，考核合格方可上岗。</w:t>
      </w:r>
    </w:p>
    <w:p w14:paraId="A50C1E55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与第三方权威检测机构合作，每月对门店食材、餐具、后厨环境进行抽样检测，检测结果在门店公示栏及官方公众号发布，接受社会监督。</w:t>
      </w:r>
    </w:p>
    <w:p w14:paraId="F14D4B71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（三）监督机制：股东+社会双重监督，筑牢安全防线</w:t>
      </w:r>
    </w:p>
    <w:p w14:paraId="12C8BBCC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从300位爱心普通合伙人中推选10人组成</w:t>
      </w:r>
      <w:r>
        <w:rPr>
          <w:b/>
          <w:bCs/>
          <w:sz w:val="28"/>
          <w:szCs w:val="28"/>
        </w:rPr>
        <w:t>食品安全监督小组</w:t>
      </w:r>
      <w:r>
        <w:rPr>
          <w:sz w:val="28"/>
          <w:szCs w:val="28"/>
        </w:rPr>
        <w:t>，每月定期巡查门店后厨，提出整改建议，监督整改落实情况。</w:t>
      </w:r>
    </w:p>
    <w:p w14:paraId="3A447679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开通食品安全投诉热线与线上反馈通道，对消费者提出的问题24小时内响应，48小时内给出解决方案，做到有诉必理、有理必果。</w:t>
      </w:r>
    </w:p>
    <w:p w14:paraId="F5DDC3A4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六、风险管控</w:t>
      </w:r>
    </w:p>
    <w:p w14:paraId="436E9567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（一）股权风险</w:t>
      </w:r>
    </w:p>
    <w:p w14:paraId="EC1D4091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聘请专业律师起草《合伙协议》，明确普通合伙人（GP）与有限合伙人（LP）的权责划分：GP拥有运营决策权，LP享有分红权与监督权，不参与日常管理，避免决策纠纷。</w:t>
      </w:r>
    </w:p>
    <w:p w14:paraId="07EB4EB8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设定清晰的入股、退股、股权转让规则，如退股需提前6个月申请，股权转让仅限爱心人士/企业，保障股权结构稳定。</w:t>
      </w:r>
    </w:p>
    <w:p w14:paraId="E63CDB18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（二）市场风险</w:t>
      </w:r>
    </w:p>
    <w:p w14:paraId="8BAA7524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前期聚焦南召县本地市场，深入调研消费者口味偏好，根据市场反馈及时调整菜品配方与营销策略，避免盲目扩张。</w:t>
      </w:r>
    </w:p>
    <w:p w14:paraId="FEE0E19D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建立产品迭代机制，每季度推出1-2款新品药膳，保持品牌新鲜感，应对市场竞争。</w:t>
      </w:r>
    </w:p>
    <w:p w14:paraId="53FD09E3">
      <w:pPr>
        <w:pStyle w:val="style4099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（三）食品安全风险</w:t>
      </w:r>
    </w:p>
    <w:p w14:paraId="CE82AAEB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建立食品安全应急预案，一旦出现食材质量问题，立即启动召回机制，暂停相关菜品销售，并公开致歉并整改，同时通过食品安全责任险转移经营风险。</w:t>
      </w:r>
    </w:p>
    <w:p w14:paraId="3BCABFB7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sz w:val="28"/>
          <w:szCs w:val="28"/>
        </w:rPr>
        <w:t>定期组织员工参加食品安全法规培训，提升全员安全意识，从源头杜绝食品安全隐患。</w:t>
      </w:r>
    </w:p>
    <w:p w14:paraId="BE916FC6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七、发展规划</w:t>
      </w:r>
    </w:p>
    <w:p w14:paraId="D7FF3F3F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第一阶段（0-1年）</w:t>
      </w:r>
      <w:r>
        <w:rPr>
          <w:sz w:val="28"/>
          <w:szCs w:val="28"/>
        </w:rPr>
        <w:t>：完成南召县样板店建设与运营，吸纳300位爱心普通合伙人，实现门店盈利，公益基金初步落地，建立完善的菜品标准化与食品安全体系。</w:t>
      </w:r>
    </w:p>
    <w:p w14:paraId="B6E8499E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第二阶段（1—3年）</w:t>
      </w:r>
      <w:r>
        <w:rPr>
          <w:sz w:val="28"/>
          <w:szCs w:val="28"/>
        </w:rPr>
        <w:t>：在南阳地区拓展3-5家直营/加盟店，完善连锁运营体系，实现区域品牌知名度提升，公益基金项目常态化开展。</w:t>
      </w:r>
    </w:p>
    <w:p w14:paraId="BF6C1D66">
      <w:pPr>
        <w:pStyle w:val="style4105"/>
        <w:numPr>
          <w:ilvl w:val="0"/>
          <w:numId w:val="0"/>
        </w:numPr>
        <w:spacing w:lineRule="auto" w:line="480"/>
        <w:ind w:left="28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第三阶段（3—5年）</w:t>
      </w:r>
      <w:r>
        <w:rPr>
          <w:sz w:val="28"/>
          <w:szCs w:val="28"/>
        </w:rPr>
        <w:t>：将品牌拓展至河南省内主要城市，成为省内知名的药膳餐饮连锁品牌，启动资本化运作筹备，探索全国加盟模式。</w:t>
      </w:r>
    </w:p>
    <w:p w14:paraId="71BD16A4">
      <w:pPr>
        <w:pStyle w:val="style4098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八、招商邀约</w:t>
      </w:r>
    </w:p>
    <w:p w14:paraId="522F206E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诚邀社会各界爱心企业、爱心人士加入</w:t>
      </w:r>
      <w:r>
        <w:rPr>
          <w:b/>
          <w:bCs/>
          <w:sz w:val="28"/>
          <w:szCs w:val="28"/>
        </w:rPr>
        <w:t>禾风牧语</w:t>
      </w:r>
      <w:r>
        <w:rPr>
          <w:sz w:val="28"/>
          <w:szCs w:val="28"/>
        </w:rPr>
        <w:t>项目，成为河南禾风牧语餐饮普通合伙企业的合伙人，共享药膳餐饮市场红利，共创食品安全标杆品牌，共筑公益事业高地！</w:t>
      </w:r>
    </w:p>
    <w:p w14:paraId="F3D4C4E3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报名咨询热线：</w:t>
      </w:r>
      <w:r>
        <w:rPr>
          <w:sz w:val="28"/>
          <w:szCs w:val="28"/>
          <w:lang w:val="en-US"/>
        </w:rPr>
        <w:t>18290281301</w:t>
      </w:r>
    </w:p>
    <w:p w14:paraId="960759FB">
      <w:pPr>
        <w:pStyle w:val="style4105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报名地址：</w:t>
      </w:r>
      <w:r>
        <w:rPr>
          <w:sz w:val="28"/>
          <w:szCs w:val="28"/>
          <w:lang w:val="en-US"/>
        </w:rPr>
        <w:t>河南南阳南召县</w:t>
      </w:r>
    </w:p>
    <w:p w14:paraId="7AC9D709">
      <w:pPr>
        <w:pStyle w:val="style4105"/>
        <w:spacing w:lineRule="auto" w:line="480"/>
        <w:rPr>
          <w:sz w:val="28"/>
          <w:szCs w:val="28"/>
        </w:rPr>
      </w:pPr>
    </w:p>
    <w:sectPr>
      <w:pgSz w:w="11906" w:h="16838" w:orient="portrait"/>
      <w:pgMar w:top="1440" w:right="1034" w:bottom="1440" w:left="1036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等线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2">
    <w:nsid w:val="00000002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e8d20830-1408-48ca-a83f-91eb4c92347c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next w:val="style0"/>
    <w:pPr>
      <w:jc w:val="both"/>
    </w:pPr>
    <w:rPr>
      <w:sz w:val="21"/>
    </w:rPr>
  </w:style>
  <w:style w:type="paragraph" w:customStyle="1" w:styleId="style4107">
    <w:name w:val=""/>
    <w:next w:val="style4094"/>
    <w:pPr>
      <w:spacing w:before="120" w:after="120" w:lineRule="auto" w:line="288"/>
      <w:ind w:left="0" w:right="0"/>
      <w:jc w:val="left"/>
    </w:pPr>
    <w:rPr>
      <w:rFonts w:ascii="Arial" w:cs="Arial" w:eastAsia="等线" w:hAnsi="Arial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3112</Words>
  <Characters>3197</Characters>
  <Application>WPS Office</Application>
  <Paragraphs>117</Paragraphs>
  <CharactersWithSpaces>3197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2025-12-27T22:07:33Z</dcterms:created>
  <dc:creator>Un-named</dc:creator>
  <lastModifiedBy>PEGM10</lastModifiedBy>
  <dcterms:modified xsi:type="dcterms:W3CDTF">2025-12-27T22:14:09Z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d9240d909c804ec5b1f3acb6dd6b830e_23</vt:lpwstr>
  </property>
</Properties>
</file>