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41ACD26">
      <w:pPr>
        <w:pStyle w:val="style4097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禾风牧语生态平台2026年度推广方案</w:t>
      </w:r>
    </w:p>
    <w:p w14:paraId="991A2A43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一、推广核心定位</w:t>
      </w:r>
    </w:p>
    <w:p w14:paraId="958C13C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品牌核心主张</w:t>
      </w:r>
      <w:r>
        <w:rPr>
          <w:sz w:val="28"/>
          <w:szCs w:val="28"/>
        </w:rPr>
        <w:t>：千元入局，认知变现，禾风牧语带你年入30W—100W</w:t>
      </w:r>
    </w:p>
    <w:p w14:paraId="880EA30E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差异化亮点</w:t>
      </w:r>
      <w:r>
        <w:rPr>
          <w:sz w:val="28"/>
          <w:szCs w:val="28"/>
        </w:rPr>
        <w:t>：公平公正生态机制+极简操作模式，打破“赚钱难=认知壁垒”的行业痛点</w:t>
      </w:r>
    </w:p>
    <w:p w14:paraId="B1FCCABE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目标人群</w:t>
      </w:r>
      <w:r>
        <w:rPr>
          <w:sz w:val="28"/>
          <w:szCs w:val="28"/>
        </w:rPr>
        <w:t>：25-55岁有小额投资能力（1000元起步）、渴望增收的群体，涵盖上班族、自由职业者、小微创业者、返乡创业者等，核心需求为低门槛、高回报、易操作的增收渠道</w:t>
      </w:r>
    </w:p>
    <w:p w14:paraId="22465332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二、分阶段推广目标</w:t>
      </w:r>
    </w:p>
    <w:p w14:paraId="81D5C52E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短期目标（1-3个月）</w:t>
      </w:r>
    </w:p>
    <w:p w14:paraId="717FBB9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完成10万+精准用户注册，核心推广区域覆盖一、二线城市及三、四线高潜力地区</w:t>
      </w:r>
    </w:p>
    <w:p w14:paraId="CA01A40E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打造30+优质用户案例，品牌关键词搜索量月均增长200%</w:t>
      </w:r>
    </w:p>
    <w:p w14:paraId="30246F6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建立100个核心私域社群，总活跃人数突破5万</w:t>
      </w:r>
    </w:p>
    <w:p w14:paraId="A48028A5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中期目标（4-6个月）</w:t>
      </w:r>
    </w:p>
    <w:p w14:paraId="0DE1400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注册用户突破30万，付费转化率达到35%以上</w:t>
      </w:r>
    </w:p>
    <w:p w14:paraId="4124347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培养500+平台推广达人，形成自发裂变传播网络</w:t>
      </w:r>
    </w:p>
    <w:p w14:paraId="42314D4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品牌在投资、创业类社交平台提及率进入同类TOP3</w:t>
      </w:r>
    </w:p>
    <w:p w14:paraId="43DF95F3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长期目标（7-12个月）</w:t>
      </w:r>
    </w:p>
    <w:p w14:paraId="31E2B825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累计注册用户超80万，核心用户年留存率保持80%</w:t>
      </w:r>
    </w:p>
    <w:p w14:paraId="FD09D6C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构建“平台+达人+用户”的闭环生态，实现用户自发增长占比60%</w:t>
      </w:r>
    </w:p>
    <w:p w14:paraId="64F12624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树立“低门槛高回报生态平台”行业标杆形象</w:t>
      </w:r>
    </w:p>
    <w:p w14:paraId="E712D852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三、全域推广策略</w:t>
      </w:r>
    </w:p>
    <w:p w14:paraId="FB354CD9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（一）线上精准引流矩阵</w:t>
      </w:r>
    </w:p>
    <w:p w14:paraId="10A8B53C">
      <w:pPr>
        <w:pStyle w:val="style410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1. 短视频平台爆破（抖音/快手/视频号）</w:t>
      </w:r>
    </w:p>
    <w:p w14:paraId="4EC9993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内容体系：打造“认知破局”系列短视频，采用“痛点场景+认知点拨+平台解决方案”结构，如《月薪5000到年入50万，差的不是努力是认知》《千元投资如何撬动百万收益？禾风牧语3步操作法》</w:t>
      </w:r>
    </w:p>
    <w:p w14:paraId="1F27997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达人合作：签约10位头部创业类达人+100位垂直领域中小达人，通过实测体验、收益晒单、直播带教形式种草，重点突出“1000元投入”“简单操作”“真实收益”三大关键词</w:t>
      </w:r>
    </w:p>
    <w:p w14:paraId="977C5A5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话题运营：发起#认知变现挑战 #千元上岸计划 #禾风牧语增收日记 等话题，设置现金奖励激励用户UGC创作，目标话题总曝光1亿+</w:t>
      </w:r>
    </w:p>
    <w:p w14:paraId="C7D54282">
      <w:pPr>
        <w:pStyle w:val="style410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私域裂变体系</w:t>
      </w:r>
    </w:p>
    <w:p w14:paraId="96427FA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裂变机制：推出“邀请好友·双向增收”活动，邀请1人注册并激活投资，邀请者与被邀请者各得100元现金奖励+平台权益包，邀请满5人额外解锁“百万收益进阶课程”</w:t>
      </w:r>
    </w:p>
    <w:p w14:paraId="7520929E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社群运营：按地域、职业、收益目标分层建群，每日推送行业干货、操作指南、用户喜报，每周开展1次达人直播答疑，每月组织“收益PK赛”发放额外奖励</w:t>
      </w:r>
    </w:p>
    <w:p w14:paraId="4081437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内容沉淀：制作《认知变现手册》《千元投资实操指南》《100个上岸者案例集》等干货资料，用户转发朋友圈即可免费领取，提升传播率</w:t>
      </w:r>
    </w:p>
    <w:p w14:paraId="EBACD5B8">
      <w:pPr>
        <w:pStyle w:val="style410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3. 搜索引擎与信息流投放</w:t>
      </w:r>
    </w:p>
    <w:p w14:paraId="A99716AA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SEO优化：针对“低门槛投资”“千元创业”“年入30万项目”等核心关键词优化官网及内容页，抢占自然搜索流量</w:t>
      </w:r>
    </w:p>
    <w:p w14:paraId="52708848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精准投放：在百度、今日头条、腾讯系平台投放信息流广告，定向25-55岁、有投资/创业兴趣、浏览过增收类内容的用户，广告素材突出数据化收益承诺与零风险暗示</w:t>
      </w:r>
    </w:p>
    <w:p w14:paraId="972A49FC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（二）线下场景渗透</w:t>
      </w:r>
    </w:p>
    <w:p w14:paraId="17E01FC6">
      <w:pPr>
        <w:pStyle w:val="style410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1. 城市地推攻坚</w:t>
      </w:r>
    </w:p>
    <w:p w14:paraId="19720358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选址：聚焦商圈、社区、写字楼、创业园区等人流密集区，设置“千元上岸体验站”，配备实操演示屏、收益案例展板、一对一咨询专员</w:t>
      </w:r>
    </w:p>
    <w:p w14:paraId="1EDEF3C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活动：推出“现场注册立享双重礼”，即赠价值299元认知提升课程+100元平台抵扣券，现场激活投资额外赠送创业工具包</w:t>
      </w:r>
    </w:p>
    <w:p w14:paraId="997745ED">
      <w:pPr>
        <w:pStyle w:val="style410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线下沙龙与分享会</w:t>
      </w:r>
    </w:p>
    <w:p w14:paraId="371BC47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频率：每月在核心城市举办2场“认知变现私享会”，三、四线城市联合当地创业者协会开展1场“上岸经验交流会”</w:t>
      </w:r>
    </w:p>
    <w:p w14:paraId="1208F08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形式：邀请平台top10收益用户分享实战经验，搭配行业专家解读“低门槛高回报”逻辑，现场设置体验区、签约区，实现“听－看-试-投”全流程转化</w:t>
      </w:r>
    </w:p>
    <w:p w14:paraId="4931DFCD">
      <w:pPr>
        <w:pStyle w:val="style410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3. 异业合作引流</w:t>
      </w:r>
    </w:p>
    <w:p w14:paraId="281469FF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合作对象：连锁便利店、母婴店、快递驿站、创业孵化器等，设置联合推广点位，张贴海报、摆放宣传物料，店员推荐成功注册给予佣金奖励</w:t>
      </w:r>
    </w:p>
    <w:p w14:paraId="B2F3779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权益互换：与金融理财类APP、创业教育平台合作，互相开放流量入口，提供专属注册权益，实现精准用户互导</w:t>
      </w:r>
    </w:p>
    <w:p w14:paraId="0FB3813E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（三）口碑与信任构建</w:t>
      </w:r>
    </w:p>
    <w:p w14:paraId="37144067">
      <w:pPr>
        <w:pStyle w:val="style410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1. 真实案例矩阵</w:t>
      </w:r>
    </w:p>
    <w:p w14:paraId="D1B9137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挖掘不同职业、地域、投资规模的用户案例，制作“上岸者实录”系列内容，包含视频访谈、图文报告、收益流水截图，突出“普通人也能成功”的普适性</w:t>
      </w:r>
    </w:p>
    <w:p w14:paraId="A1B4A07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定期举办“上岸者颁奖盛典”，邀请优秀用户线下领奖并分享经验，同步线上直播，增强品牌公信力</w:t>
      </w:r>
    </w:p>
    <w:p w14:paraId="1FB9FE50">
      <w:pPr>
        <w:pStyle w:val="style410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透明化展示机制</w:t>
      </w:r>
    </w:p>
    <w:p w14:paraId="D8DD233A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开设“收益公示专区”，实时展示用户收益数据（隐去隐私信息），定期发布平台运营报告，公开生态规则与收益分配逻辑，强化“公平公正”认知</w:t>
      </w:r>
    </w:p>
    <w:p w14:paraId="90E93AE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邀请第三方机构出具合规性报告，在官网及主流平台公示，打消用户投资顾虑</w:t>
      </w:r>
    </w:p>
    <w:p w14:paraId="BC5EFD3F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四、内容营销体系</w:t>
      </w:r>
    </w:p>
    <w:p w14:paraId="90F16576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1. 核心内容主题</w:t>
      </w:r>
    </w:p>
    <w:p w14:paraId="B6D9610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认知提升类：《赚钱难的本质是认知闭环缺失》《2026年最容易变现的3个认知缺口》</w:t>
      </w:r>
    </w:p>
    <w:p w14:paraId="AF98BF6D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实操教学类：《禾风牧语3分钟上手教程》《千元投资优化配置方案》</w:t>
      </w:r>
    </w:p>
    <w:p w14:paraId="826260A5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案例赋能类：《从宝妈到年入60万，她的禾风牧语操作日志》《打工族副业逆袭：月入3万的实战技巧》</w:t>
      </w:r>
    </w:p>
    <w:p w14:paraId="3B46ABB6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内容分发渠道</w:t>
      </w:r>
    </w:p>
    <w:p w14:paraId="8DEDE4CF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图文平台：微信公众号、知乎、小红书定期更新干货内容，知乎开设“禾风牧语认知变现”专栏，解答用户核心疑问</w:t>
      </w:r>
    </w:p>
    <w:p w14:paraId="59C89CF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音频平台：在喜马拉雅、荔枝FM上线“认知变现电台”，适合通勤场景收听，内容以案例分享、操作技巧为主</w:t>
      </w:r>
    </w:p>
    <w:p w14:paraId="1E013E1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视频平台：除短视频外，推出系列长视频课程，免费开放基础章节，进阶内容需注册解锁，提升注册转化率</w:t>
      </w:r>
    </w:p>
    <w:p w14:paraId="B1F98E8E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五、预算与资源配置</w:t>
      </w:r>
    </w:p>
    <w:p w14:paraId="7AED0E86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1. 预算分配（总预算示例，可按实际调整）</w:t>
      </w:r>
    </w:p>
    <w:p w14:paraId="5C2AB3C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线上推广：60%（短视频达人合作30%、信息流广告20%、内容制作10%）</w:t>
      </w:r>
    </w:p>
    <w:p w14:paraId="07AF430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线下活动：25%（地推执行10%、沙龙场地与物料10%、异业合作5%）</w:t>
      </w:r>
    </w:p>
    <w:p w14:paraId="BC13837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用户激励：10%（裂变奖励、案例奖励、活动奖品）</w:t>
      </w:r>
    </w:p>
    <w:p w14:paraId="797402B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应急与优化：5%</w:t>
      </w:r>
    </w:p>
    <w:p w14:paraId="CFABE188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人力资源配置</w:t>
      </w:r>
    </w:p>
    <w:p w14:paraId="2E9B8CFF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推广团队：渠道运营组、内容创作组、活动执行组、数据监测组</w:t>
      </w:r>
    </w:p>
    <w:p w14:paraId="4224EBD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外部资源：短视频拍摄团队、达人经纪公司、线下执行服务商、第三方合规机构</w:t>
      </w:r>
    </w:p>
    <w:p w14:paraId="367CBF80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六、效果监测与优化</w:t>
      </w:r>
    </w:p>
    <w:p w14:paraId="3170F0A0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1. 核心监测指标</w:t>
      </w:r>
    </w:p>
    <w:p w14:paraId="3EB3BC6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流量指标：各渠道引流数据、注册转化率、页面停留时长</w:t>
      </w:r>
    </w:p>
    <w:p w14:paraId="A36CBBE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转化指标：付费激活率、邀请裂变率、社群活跃度</w:t>
      </w:r>
    </w:p>
    <w:p w14:paraId="EFCB3E8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口碑指标：品牌提及率、用户好评率、NPS净推荐值</w:t>
      </w:r>
    </w:p>
    <w:p w14:paraId="90CB7FF4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收益指标：渠道ROI、用户留存率、复投率</w:t>
      </w:r>
    </w:p>
    <w:p w14:paraId="2DE02709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优化机制</w:t>
      </w:r>
    </w:p>
    <w:p w14:paraId="A924BE0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每日监测各渠道数据，每周出具分析报告，及时调整投放策略</w:t>
      </w:r>
    </w:p>
    <w:p w14:paraId="6BBFF398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每月开展用户调研，收集反馈优化产品功能与推广内容</w:t>
      </w:r>
    </w:p>
    <w:p w14:paraId="2A7EF93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建立渠道分级制度，重点扶持高ROI渠道，淘汰低效渠道</w:t>
      </w:r>
    </w:p>
    <w:p w14:paraId="39D19B5B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七、风险防控</w:t>
      </w:r>
    </w:p>
    <w:p w14:paraId="541335E4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合规风控：所有推广内容避免夸大宣传，明确提示投资风险，公示平台合规资质，确保推广行为符合法律法规</w:t>
      </w:r>
    </w:p>
    <w:p w14:paraId="9CD72BD7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舆情监测：建立24小时舆情监测机制，及时响应用户疑问与负面反馈，快速处理纠纷</w:t>
      </w:r>
    </w:p>
    <w:p w14:paraId="67A47A5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用户保护：完善用户信息安全保障体系，规范收益结算流程，保障用户合法权益</w:t>
      </w:r>
    </w:p>
    <w:p w14:paraId="FE63FF02">
      <w:pPr>
        <w:pStyle w:val="style4105"/>
        <w:spacing w:lineRule="auto" w:line="360"/>
        <w:rPr>
          <w:sz w:val="28"/>
          <w:szCs w:val="28"/>
        </w:rPr>
      </w:pPr>
    </w:p>
    <w:sectPr>
      <w:pgSz w:w="11906" w:h="16838" w:orient="portrait"/>
      <w:pgMar w:top="1440" w:right="1006" w:bottom="1440" w:left="1007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eabb0705-9659-4805-90a4-a1236e0f9674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2393</Words>
  <Characters>2519</Characters>
  <Application>WPS Office</Application>
  <Paragraphs>81</Paragraphs>
  <CharactersWithSpaces>2536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2026-01-05T21:46:51Z</dcterms:created>
  <dc:creator>Un-named</dc:creator>
  <lastModifiedBy>PEGM10</lastModifiedBy>
  <dcterms:modified xsi:type="dcterms:W3CDTF">2026-01-05T21:46:51Z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dc6c024ab81c4e80b3de8461d42f57ce_23</vt:lpwstr>
  </property>
</Properties>
</file>